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D16D35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EC5FAB" w:rsidRPr="00EC5FAB">
        <w:rPr>
          <w:rFonts w:ascii="Times New Roman" w:eastAsia="Times New Roman" w:hAnsi="Times New Roman" w:cs="Times New Roman"/>
          <w:sz w:val="28"/>
          <w:szCs w:val="28"/>
          <w:lang w:eastAsia="ru-RU"/>
        </w:rPr>
        <w:t>«Щукинка-2», ул. Грибная, 81а»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Людмилы Васильевны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1D75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E8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1D75">
        <w:rPr>
          <w:rFonts w:ascii="Times New Roman" w:eastAsia="Times New Roman" w:hAnsi="Times New Roman" w:cs="Times New Roman"/>
          <w:sz w:val="28"/>
          <w:szCs w:val="28"/>
          <w:lang w:eastAsia="ru-RU"/>
        </w:rPr>
        <w:t>7131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ЕАО, Биробиджански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</w:t>
      </w:r>
      <w:r w:rsidR="0065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EC5FAB" w:rsidRPr="00EC5FAB">
        <w:rPr>
          <w:rFonts w:ascii="Times New Roman" w:eastAsia="Times New Roman" w:hAnsi="Times New Roman" w:cs="Times New Roman"/>
          <w:sz w:val="28"/>
          <w:szCs w:val="28"/>
          <w:lang w:eastAsia="ru-RU"/>
        </w:rPr>
        <w:t>«Щукинка-2», ул. Грибная, 81а»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1F2D3D">
        <w:rPr>
          <w:sz w:val="28"/>
          <w:szCs w:val="28"/>
        </w:rPr>
        <w:t>25</w:t>
      </w:r>
      <w:r w:rsidR="00B21D75">
        <w:rPr>
          <w:sz w:val="28"/>
          <w:szCs w:val="28"/>
        </w:rPr>
        <w:t>.11.</w:t>
      </w:r>
      <w:r>
        <w:rPr>
          <w:sz w:val="28"/>
          <w:szCs w:val="28"/>
        </w:rPr>
        <w:t>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1F2D3D">
        <w:rPr>
          <w:sz w:val="28"/>
          <w:szCs w:val="28"/>
        </w:rPr>
        <w:t>19.</w:t>
      </w:r>
      <w:r w:rsidR="00B21D7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1F2D3D">
        <w:t>19</w:t>
      </w:r>
      <w:r w:rsidR="00B21D75">
        <w:t>.12</w:t>
      </w:r>
      <w:r w:rsidRPr="00E77F88">
        <w:t>.202</w:t>
      </w:r>
      <w:r w:rsidR="00C50099">
        <w:t>4</w:t>
      </w:r>
      <w:r w:rsidRPr="00E77F88">
        <w:t xml:space="preserve"> в 1</w:t>
      </w:r>
      <w:r w:rsidR="00B21D75">
        <w:t>0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proofErr w:type="spellStart"/>
      <w:r>
        <w:t>каб</w:t>
      </w:r>
      <w:proofErr w:type="spellEnd"/>
      <w:r>
        <w:t>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C94548">
        <w:t xml:space="preserve">ЕАО, </w:t>
      </w:r>
      <w:r w:rsidR="00BD06AC">
        <w:t xml:space="preserve">Биробиджанский район, </w:t>
      </w:r>
      <w:r w:rsidR="0006614E">
        <w:br/>
      </w:r>
      <w:r w:rsidR="00BA53FA">
        <w:t xml:space="preserve">СОТ </w:t>
      </w:r>
      <w:r w:rsidR="00EC5FAB">
        <w:t>«Щукинка-2», ул. Грибная, 81а</w:t>
      </w:r>
      <w:r w:rsidR="008433F2" w:rsidRPr="008433F2">
        <w:t xml:space="preserve">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1767">
        <w:rPr>
          <w:rFonts w:ascii="Times New Roman" w:hAnsi="Times New Roman" w:cs="Times New Roman"/>
          <w:sz w:val="28"/>
          <w:szCs w:val="28"/>
        </w:rPr>
        <w:t xml:space="preserve">ЕАО, </w:t>
      </w:r>
      <w:r w:rsidR="00BD06AC" w:rsidRPr="00BD06AC">
        <w:rPr>
          <w:rFonts w:ascii="Times New Roman" w:hAnsi="Times New Roman" w:cs="Times New Roman"/>
          <w:sz w:val="28"/>
          <w:szCs w:val="28"/>
        </w:rPr>
        <w:t>Биробиджански</w:t>
      </w:r>
      <w:r w:rsidR="00BD06AC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BA53FA">
        <w:rPr>
          <w:rFonts w:ascii="Times New Roman" w:hAnsi="Times New Roman" w:cs="Times New Roman"/>
          <w:sz w:val="28"/>
          <w:szCs w:val="28"/>
        </w:rPr>
        <w:t xml:space="preserve">СОТ </w:t>
      </w:r>
      <w:r w:rsidR="00EC5FAB">
        <w:rPr>
          <w:rFonts w:ascii="Times New Roman" w:hAnsi="Times New Roman" w:cs="Times New Roman"/>
          <w:sz w:val="28"/>
          <w:szCs w:val="28"/>
        </w:rPr>
        <w:t>«Щукинка-2», ул. Грибная, 81а.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1F2D3D">
        <w:rPr>
          <w:rFonts w:ascii="Times New Roman" w:hAnsi="Times New Roman" w:cs="Times New Roman"/>
          <w:sz w:val="28"/>
          <w:szCs w:val="28"/>
        </w:rPr>
        <w:t>25</w:t>
      </w:r>
      <w:r w:rsidR="00B21D75">
        <w:rPr>
          <w:rFonts w:ascii="Times New Roman" w:hAnsi="Times New Roman" w:cs="Times New Roman"/>
          <w:sz w:val="28"/>
          <w:szCs w:val="28"/>
        </w:rPr>
        <w:t>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1F2D3D">
        <w:rPr>
          <w:rFonts w:ascii="Times New Roman" w:hAnsi="Times New Roman" w:cs="Times New Roman"/>
          <w:sz w:val="28"/>
          <w:szCs w:val="28"/>
        </w:rPr>
        <w:t>19</w:t>
      </w:r>
      <w:r w:rsidR="00B21D75">
        <w:rPr>
          <w:rFonts w:ascii="Times New Roman" w:hAnsi="Times New Roman" w:cs="Times New Roman"/>
          <w:sz w:val="28"/>
          <w:szCs w:val="28"/>
        </w:rPr>
        <w:t>.12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</w:t>
      </w:r>
      <w:proofErr w:type="spellStart"/>
      <w:r w:rsidRPr="004C7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7D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</w:t>
      </w:r>
      <w:proofErr w:type="spellStart"/>
      <w:r w:rsidRPr="004C7D9E">
        <w:t>каб</w:t>
      </w:r>
      <w:proofErr w:type="spellEnd"/>
      <w:r w:rsidRPr="004C7D9E">
        <w:t xml:space="preserve">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</w:p>
    <w:p w:rsidR="000D33B7" w:rsidRPr="00543E18" w:rsidRDefault="000D33B7" w:rsidP="0006614E">
      <w:pPr>
        <w:pStyle w:val="1"/>
        <w:ind w:firstLine="0"/>
      </w:pPr>
      <w:r w:rsidRPr="00570796"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06614E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C5FAB" w:rsidRDefault="00EC5FAB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C5FAB" w:rsidRDefault="00EC5FAB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EC5FAB" w:rsidTr="00791A03">
        <w:tc>
          <w:tcPr>
            <w:tcW w:w="7372" w:type="dxa"/>
            <w:gridSpan w:val="2"/>
          </w:tcPr>
          <w:p w:rsidR="00EC5FAB" w:rsidRDefault="00EC5FAB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EC5FAB" w:rsidRPr="00C50099" w:rsidRDefault="00EC5FAB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архитектуры и градостроительства</w:t>
            </w:r>
          </w:p>
        </w:tc>
        <w:tc>
          <w:tcPr>
            <w:tcW w:w="2126" w:type="dxa"/>
          </w:tcPr>
          <w:p w:rsidR="00EC5FAB" w:rsidRDefault="00EC5FA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FAB" w:rsidRDefault="00EC5FA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EC5FAB" w:rsidRDefault="00EC5FA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1F2D3D" w:rsidTr="00791A03">
        <w:tc>
          <w:tcPr>
            <w:tcW w:w="7372" w:type="dxa"/>
            <w:gridSpan w:val="2"/>
          </w:tcPr>
          <w:p w:rsidR="001F2D3D" w:rsidRPr="00C50099" w:rsidRDefault="001F2D3D" w:rsidP="001F2D3D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3D" w:rsidTr="00791A03">
        <w:tc>
          <w:tcPr>
            <w:tcW w:w="7372" w:type="dxa"/>
            <w:gridSpan w:val="2"/>
          </w:tcPr>
          <w:p w:rsidR="001F2D3D" w:rsidRDefault="001F2D3D" w:rsidP="001F2D3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1F2D3D" w:rsidRDefault="001F2D3D" w:rsidP="001F2D3D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3D" w:rsidTr="00791A03">
        <w:tc>
          <w:tcPr>
            <w:tcW w:w="7372" w:type="dxa"/>
            <w:gridSpan w:val="2"/>
          </w:tcPr>
          <w:p w:rsidR="001F2D3D" w:rsidRDefault="001F2D3D" w:rsidP="001F2D3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1F2D3D" w:rsidRDefault="001F2D3D" w:rsidP="001F2D3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3D" w:rsidTr="00791A03">
        <w:tc>
          <w:tcPr>
            <w:tcW w:w="7372" w:type="dxa"/>
            <w:gridSpan w:val="2"/>
          </w:tcPr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1F2D3D" w:rsidRPr="00C50099" w:rsidRDefault="001F2D3D" w:rsidP="001F2D3D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муниципальным имуществом</w:t>
            </w:r>
          </w:p>
        </w:tc>
        <w:tc>
          <w:tcPr>
            <w:tcW w:w="2126" w:type="dxa"/>
          </w:tcPr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1F2D3D" w:rsidRDefault="001F2D3D" w:rsidP="001F2D3D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3D" w:rsidTr="00791A03">
        <w:tc>
          <w:tcPr>
            <w:tcW w:w="7372" w:type="dxa"/>
            <w:gridSpan w:val="2"/>
          </w:tcPr>
          <w:p w:rsidR="001F2D3D" w:rsidRPr="00C653FE" w:rsidRDefault="001F2D3D" w:rsidP="001F2D3D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1F2D3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1F2D3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3D" w:rsidTr="00791A03">
        <w:tc>
          <w:tcPr>
            <w:tcW w:w="4679" w:type="dxa"/>
          </w:tcPr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1F2D3D" w:rsidRPr="00913D1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1F2D3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1F2D3D" w:rsidRDefault="001F2D3D" w:rsidP="001F2D3D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BC4CDB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-441443</wp:posOffset>
                </wp:positionV>
                <wp:extent cx="382772" cy="265814"/>
                <wp:effectExtent l="0" t="0" r="17780" b="203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C4CDB" w:rsidRDefault="00BC4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7pt;margin-top:-34.75pt;width:30.1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" fillcolor="white [3212]" strokecolor="white [3212]" strokeweight=".5pt">
                <v:textbox>
                  <w:txbxContent>
                    <w:p w:rsidR="00BC4CDB" w:rsidRDefault="00BC4CDB"/>
                  </w:txbxContent>
                </v:textbox>
              </v:shape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16D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6D35">
        <w:rPr>
          <w:rFonts w:ascii="Times New Roman" w:hAnsi="Times New Roman" w:cs="Times New Roman"/>
          <w:sz w:val="28"/>
          <w:szCs w:val="28"/>
        </w:rPr>
        <w:t>21.11.2024 № 797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1F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1F2D3D" w:rsidRPr="00EC5FAB">
        <w:rPr>
          <w:rFonts w:ascii="Times New Roman" w:eastAsia="Times New Roman" w:hAnsi="Times New Roman" w:cs="Times New Roman"/>
          <w:sz w:val="28"/>
          <w:szCs w:val="28"/>
          <w:lang w:eastAsia="ru-RU"/>
        </w:rPr>
        <w:t>«Щукинка-2», ул. Грибная, 81а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3D" w:rsidTr="00300C00">
        <w:tc>
          <w:tcPr>
            <w:tcW w:w="3823" w:type="dxa"/>
          </w:tcPr>
          <w:p w:rsidR="001F2D3D" w:rsidRDefault="001F2D3D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1F2D3D" w:rsidRDefault="001F2D3D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 Константиновна</w:t>
            </w:r>
          </w:p>
        </w:tc>
        <w:tc>
          <w:tcPr>
            <w:tcW w:w="5521" w:type="dxa"/>
          </w:tcPr>
          <w:p w:rsidR="001F2D3D" w:rsidRDefault="001F2D3D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1F2D3D" w:rsidRDefault="001F2D3D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1F2D3D" w:rsidRDefault="001F2D3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BA53F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BA53F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1F2D3D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1F2D3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1F2D3D" w:rsidRDefault="001F2D3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B217CD" w:rsidRDefault="001F2D3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2" w:rsidRDefault="008464A2" w:rsidP="00053A46">
      <w:pPr>
        <w:spacing w:after="0" w:line="240" w:lineRule="auto"/>
      </w:pPr>
      <w:r>
        <w:separator/>
      </w:r>
    </w:p>
  </w:endnote>
  <w:end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2" w:rsidRDefault="008464A2" w:rsidP="00053A46">
      <w:pPr>
        <w:spacing w:after="0" w:line="240" w:lineRule="auto"/>
      </w:pPr>
      <w:r>
        <w:separator/>
      </w:r>
    </w:p>
  </w:footnote>
  <w:foot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D16D35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E4770"/>
    <w:rsid w:val="001E55B3"/>
    <w:rsid w:val="001F2D3D"/>
    <w:rsid w:val="002425ED"/>
    <w:rsid w:val="00242FE0"/>
    <w:rsid w:val="002647D5"/>
    <w:rsid w:val="00274720"/>
    <w:rsid w:val="002C31EF"/>
    <w:rsid w:val="00300C00"/>
    <w:rsid w:val="00305EF6"/>
    <w:rsid w:val="003A464D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B7C69"/>
    <w:rsid w:val="005C70C5"/>
    <w:rsid w:val="005C744E"/>
    <w:rsid w:val="005C77C0"/>
    <w:rsid w:val="005E5BE6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30AA6"/>
    <w:rsid w:val="00742228"/>
    <w:rsid w:val="00775B47"/>
    <w:rsid w:val="00791A03"/>
    <w:rsid w:val="007A3E66"/>
    <w:rsid w:val="007C177C"/>
    <w:rsid w:val="007F4AFA"/>
    <w:rsid w:val="007F6E2A"/>
    <w:rsid w:val="008068DB"/>
    <w:rsid w:val="00810E3A"/>
    <w:rsid w:val="008433F2"/>
    <w:rsid w:val="008464A2"/>
    <w:rsid w:val="008603CE"/>
    <w:rsid w:val="00880AC7"/>
    <w:rsid w:val="00884549"/>
    <w:rsid w:val="008904C6"/>
    <w:rsid w:val="008A3B27"/>
    <w:rsid w:val="008C3CF4"/>
    <w:rsid w:val="008C7E0B"/>
    <w:rsid w:val="008E438E"/>
    <w:rsid w:val="00910490"/>
    <w:rsid w:val="00915874"/>
    <w:rsid w:val="00951D87"/>
    <w:rsid w:val="009521FB"/>
    <w:rsid w:val="00977F6D"/>
    <w:rsid w:val="00985C4C"/>
    <w:rsid w:val="00992113"/>
    <w:rsid w:val="00994646"/>
    <w:rsid w:val="009C3BD0"/>
    <w:rsid w:val="009D2530"/>
    <w:rsid w:val="009D38D3"/>
    <w:rsid w:val="00A15FB8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21D75"/>
    <w:rsid w:val="00B3178C"/>
    <w:rsid w:val="00B353A1"/>
    <w:rsid w:val="00B708ED"/>
    <w:rsid w:val="00B827D9"/>
    <w:rsid w:val="00B85F1A"/>
    <w:rsid w:val="00BA53FA"/>
    <w:rsid w:val="00BB6F86"/>
    <w:rsid w:val="00BC4CDB"/>
    <w:rsid w:val="00BD06AC"/>
    <w:rsid w:val="00BF1D76"/>
    <w:rsid w:val="00C36314"/>
    <w:rsid w:val="00C50099"/>
    <w:rsid w:val="00C56F07"/>
    <w:rsid w:val="00C93B1D"/>
    <w:rsid w:val="00C94548"/>
    <w:rsid w:val="00CA3CCD"/>
    <w:rsid w:val="00CA767A"/>
    <w:rsid w:val="00CB402B"/>
    <w:rsid w:val="00CC1767"/>
    <w:rsid w:val="00D06ADD"/>
    <w:rsid w:val="00D16D35"/>
    <w:rsid w:val="00D214A4"/>
    <w:rsid w:val="00D40F47"/>
    <w:rsid w:val="00D51601"/>
    <w:rsid w:val="00D60B5D"/>
    <w:rsid w:val="00D64900"/>
    <w:rsid w:val="00D76256"/>
    <w:rsid w:val="00D76C9F"/>
    <w:rsid w:val="00D806E6"/>
    <w:rsid w:val="00D873F7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815B4"/>
    <w:rsid w:val="00E8799F"/>
    <w:rsid w:val="00EA6748"/>
    <w:rsid w:val="00EC5FAB"/>
    <w:rsid w:val="00FA059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52CA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ADC1-AF74-4FB3-98CD-79449F7A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76</cp:revision>
  <cp:lastPrinted>2024-11-19T03:46:00Z</cp:lastPrinted>
  <dcterms:created xsi:type="dcterms:W3CDTF">2022-07-06T06:42:00Z</dcterms:created>
  <dcterms:modified xsi:type="dcterms:W3CDTF">2024-11-21T22:33:00Z</dcterms:modified>
</cp:coreProperties>
</file>