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48" w:rsidRPr="00E76248" w:rsidRDefault="00E76248" w:rsidP="00E762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7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E76248" w:rsidRPr="00E76248" w:rsidRDefault="00E76248" w:rsidP="00E762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выполнения программ, реализуемых на территории муниципального образования «Биробиджанский муниципальный район» Еврейской автономной области за январь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E7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tbl>
      <w:tblPr>
        <w:tblStyle w:val="1"/>
        <w:tblpPr w:leftFromText="180" w:rightFromText="180" w:vertAnchor="text" w:tblpX="257" w:tblpY="1"/>
        <w:tblOverlap w:val="never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5"/>
        <w:gridCol w:w="992"/>
        <w:gridCol w:w="1108"/>
        <w:gridCol w:w="1276"/>
        <w:gridCol w:w="980"/>
        <w:gridCol w:w="5709"/>
      </w:tblGrid>
      <w:tr w:rsidR="00E76248" w:rsidRPr="00E76248" w:rsidTr="00453BD7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bookmarkEnd w:id="0"/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-8"/>
                <w:sz w:val="16"/>
                <w:szCs w:val="16"/>
                <w:lang w:eastAsia="zh-CN"/>
              </w:rPr>
              <w:t>Источники финансирования и направления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Предусмотрено </w:t>
            </w:r>
          </w:p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на текущий год</w:t>
            </w:r>
          </w:p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Профинансировано </w:t>
            </w:r>
            <w:r w:rsidRPr="00E76248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за январь – </w:t>
            </w:r>
            <w:r w:rsidR="00DE6BFA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июнь</w:t>
            </w:r>
            <w:r w:rsidRPr="00E76248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 </w:t>
            </w:r>
          </w:p>
          <w:p w:rsidR="00E76248" w:rsidRPr="00E76248" w:rsidRDefault="00DE6BFA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2022</w:t>
            </w:r>
            <w:r w:rsidR="00E76248" w:rsidRPr="00E76248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 </w:t>
            </w:r>
            <w:r w:rsidR="00E76248" w:rsidRPr="00E76248">
              <w:rPr>
                <w:rFonts w:ascii="Times New Roman" w:hAnsi="Times New Roman"/>
                <w:spacing w:val="-1"/>
                <w:sz w:val="16"/>
                <w:szCs w:val="16"/>
                <w:lang w:eastAsia="zh-CN"/>
              </w:rPr>
              <w:t>года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 xml:space="preserve">Выполнено  </w:t>
            </w:r>
            <w:r w:rsidRPr="00E76248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 xml:space="preserve">за </w:t>
            </w:r>
            <w:r w:rsidRPr="00E76248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январь– </w:t>
            </w:r>
            <w:r w:rsidR="00DE6BFA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июнь</w:t>
            </w:r>
            <w:r w:rsidRPr="00E76248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 202</w:t>
            </w:r>
            <w:r w:rsidR="00DE6BFA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2</w:t>
            </w:r>
            <w:r w:rsidRPr="00E76248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 xml:space="preserve"> года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tabs>
                <w:tab w:val="left" w:pos="17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-2"/>
                <w:sz w:val="16"/>
                <w:szCs w:val="16"/>
                <w:lang w:eastAsia="zh-CN"/>
              </w:rPr>
              <w:t>Основные мероприятия программы за отчетный период</w:t>
            </w:r>
          </w:p>
        </w:tc>
      </w:tr>
      <w:tr w:rsidR="00E76248" w:rsidRPr="00E76248" w:rsidTr="00453BD7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>Объем ассигнований –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248" w:rsidRPr="001750EF" w:rsidRDefault="00392E07" w:rsidP="00453B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50EF">
              <w:rPr>
                <w:rFonts w:ascii="Times New Roman" w:hAnsi="Times New Roman"/>
                <w:b/>
                <w:sz w:val="16"/>
                <w:szCs w:val="16"/>
              </w:rPr>
              <w:t>540299,4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248" w:rsidRPr="001750EF" w:rsidRDefault="00DD7C0E" w:rsidP="00453B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213401,0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1750EF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190887,1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453BD7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 xml:space="preserve">За счет средств местного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248" w:rsidRPr="001750EF" w:rsidRDefault="00392E07" w:rsidP="00453B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50EF">
              <w:rPr>
                <w:rFonts w:ascii="Times New Roman" w:hAnsi="Times New Roman"/>
                <w:b/>
                <w:sz w:val="16"/>
                <w:szCs w:val="16"/>
              </w:rPr>
              <w:t>144770,0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248" w:rsidRPr="001750EF" w:rsidRDefault="00392E07" w:rsidP="00453B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50EF">
              <w:rPr>
                <w:rFonts w:ascii="Times New Roman" w:hAnsi="Times New Roman"/>
                <w:b/>
                <w:sz w:val="16"/>
                <w:szCs w:val="16"/>
              </w:rPr>
              <w:t>73575,9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1750EF" w:rsidRDefault="006F1680" w:rsidP="00453BD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50EF">
              <w:rPr>
                <w:rFonts w:ascii="Times New Roman" w:hAnsi="Times New Roman"/>
                <w:b/>
                <w:bCs/>
                <w:sz w:val="16"/>
                <w:szCs w:val="16"/>
              </w:rPr>
              <w:t>69291,9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453BD7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</w:pPr>
            <w:r w:rsidRPr="00E76248">
              <w:rPr>
                <w:rFonts w:ascii="Times New Roman" w:hAnsi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 xml:space="preserve">За счет средств областного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248" w:rsidRPr="001750EF" w:rsidRDefault="002A2845" w:rsidP="00453B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395529,1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248" w:rsidRPr="001750EF" w:rsidRDefault="00392E07" w:rsidP="00453BD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50EF">
              <w:rPr>
                <w:rFonts w:ascii="Times New Roman" w:hAnsi="Times New Roman"/>
                <w:b/>
                <w:sz w:val="16"/>
                <w:szCs w:val="16"/>
              </w:rPr>
              <w:t>139825,1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1750EF" w:rsidRDefault="006F1680" w:rsidP="00453BD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750EF">
              <w:rPr>
                <w:rFonts w:ascii="Times New Roman" w:hAnsi="Times New Roman"/>
                <w:b/>
                <w:bCs/>
                <w:sz w:val="16"/>
                <w:szCs w:val="16"/>
              </w:rPr>
              <w:t>114211,0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453BD7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E76248" w:rsidP="00453BD7">
            <w:pPr>
              <w:shd w:val="clear" w:color="auto" w:fill="FFFFFF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76248" w:rsidRPr="00E76248" w:rsidTr="00453BD7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«Развитие муниципальной службы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837,3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707E31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Государственная экспертиза ПСД, приобретение насосов, приобретение электроматериалов запасных частей), ремонт электрических сетей в с. Птичник, с. Раздольное</w:t>
            </w:r>
          </w:p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837,3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1156,1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E31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Компенсация части потерь перевозчикам</w:t>
            </w:r>
            <w:r w:rsidR="00707E31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,</w:t>
            </w:r>
          </w:p>
          <w:p w:rsidR="00E76248" w:rsidRPr="00E76248" w:rsidRDefault="00707E31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Механизированная снегоочистка автомобильных дорог, приобретение дорожных знаков </w:t>
            </w:r>
            <w:r w:rsidR="00E76248"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  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1159,16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«Развитие сети автомобильных дорог общего пользования местного значения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655FD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655FD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655FD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4863,7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655FD6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Обеспечение5 эксплуатационного содержания автомобильных дорог общего пользования местного значения и искусственных сооружений на них, ремонт автомобильных дорог, оплата за электрическую энергию уличного освещения, замена светильников уличного освещения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453BD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655FD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655FD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4863,7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«Энергосбережение и повышение энергетической эффективности в муниципальном образовании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44B70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44B70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44B70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44B70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44B70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44B70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«Развитие системы образования муниципального образования «Биробиджанский муниципальный район» Еврейской автономной области на 2020 – 2024 год»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EB280D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437349,4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EB280D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178199,0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EB280D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161940,4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Default="0039071A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-развитие дошкольного образования </w:t>
            </w:r>
          </w:p>
          <w:p w:rsidR="0039071A" w:rsidRDefault="0039071A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-повышение доступности и качества общего образования </w:t>
            </w:r>
          </w:p>
          <w:p w:rsidR="0039071A" w:rsidRDefault="0039071A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- повышение доступности и качества дополнительного образования </w:t>
            </w:r>
          </w:p>
          <w:p w:rsidR="0039071A" w:rsidRDefault="0039071A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- проведение мероприятий в целях обеспечения качества общего и дополнительного образования </w:t>
            </w:r>
          </w:p>
          <w:p w:rsidR="0039071A" w:rsidRDefault="0039071A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- организация летнего отдыха, оздоровления и трудовой занятости учащихся</w:t>
            </w:r>
          </w:p>
          <w:p w:rsidR="0039071A" w:rsidRPr="00E76248" w:rsidRDefault="0039071A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- обеспечение безопасности и развитие материально-технической базы муниципальных образовательных учреждений  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EB280D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88010,2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453BD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43979,5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EB280D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40342,1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1E73" w:rsidRPr="00471FE7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471FE7">
              <w:rPr>
                <w:rFonts w:ascii="Times New Roman" w:hAnsi="Times New Roman"/>
                <w:sz w:val="16"/>
                <w:szCs w:val="16"/>
              </w:rPr>
              <w:t>«Культура муниципального образования «Биробиджанский муниципальный район» Еврейской автономной области на 2020 – 2024 годы»</w:t>
            </w:r>
          </w:p>
          <w:p w:rsidR="00E76248" w:rsidRPr="00471FE7" w:rsidRDefault="00411E73" w:rsidP="00453BD7">
            <w:pPr>
              <w:tabs>
                <w:tab w:val="left" w:pos="4065"/>
              </w:tabs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71FE7">
              <w:rPr>
                <w:rFonts w:ascii="Times New Roman" w:hAnsi="Times New Roman"/>
                <w:sz w:val="16"/>
                <w:szCs w:val="16"/>
                <w:lang w:eastAsia="zh-CN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8325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8325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13531,4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11386,0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Default="00783256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Выплата заработной платы </w:t>
            </w:r>
          </w:p>
          <w:p w:rsidR="00783256" w:rsidRDefault="00783256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Установка видеонаблюдения</w:t>
            </w:r>
          </w:p>
          <w:p w:rsidR="00E76248" w:rsidRPr="00E76248" w:rsidRDefault="00783256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Текущий ремонт ГДК Бирофельд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8325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8325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8325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11386,0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«Информатизация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8325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2514</w:t>
            </w:r>
            <w:r w:rsidR="00FB0151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8325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8325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870,2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Сопровождение АС «Бюджет», Сопровождение «Контур Экстерн». Приобретение компьютерного оборудования, обновление комплектующих</w:t>
            </w:r>
          </w:p>
        </w:tc>
      </w:tr>
      <w:tr w:rsidR="00E76248" w:rsidRPr="00E76248" w:rsidTr="00023E3E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8325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8325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8325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870,2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023E3E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«Улучшение условий и охраны труда в администрации Биробиджанского муниципального района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83CA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83CA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83CA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местный </w:t>
            </w:r>
            <w:r w:rsidR="00C412D8">
              <w:rPr>
                <w:rFonts w:ascii="Times New Roman" w:eastAsia="SimSun" w:hAnsi="Times New Roman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-10160</wp:posOffset>
                      </wp:positionV>
                      <wp:extent cx="215265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ED633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pt,-.8pt" to="214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83CA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83CA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83CA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lastRenderedPageBreak/>
      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«Развитие общественной активности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A876D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A876D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A876D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rPr>
          <w:trHeight w:val="487"/>
        </w:trPr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A876D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A876D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A876D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«Комплексное развитие сельских территорий Биробиджанского муниципального района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6206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6206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6206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B6206F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Разработка локально-сметных расчетов монтажа малых архитектурных форм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6206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6206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6206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53BD7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53BD7" w:rsidRPr="00E76248" w:rsidRDefault="00453BD7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«Обеспечение жильем молодых семей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D7" w:rsidRPr="00E76248" w:rsidRDefault="00453BD7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3BD7" w:rsidRPr="00E76248" w:rsidRDefault="00453BD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3BD7" w:rsidRPr="00E76248" w:rsidRDefault="00453BD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3BD7" w:rsidRPr="00E76248" w:rsidRDefault="00453BD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BD7" w:rsidRPr="00E76248" w:rsidRDefault="00453BD7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453BD7" w:rsidRPr="00E76248" w:rsidTr="00453BD7">
        <w:trPr>
          <w:trHeight w:val="391"/>
        </w:trPr>
        <w:tc>
          <w:tcPr>
            <w:tcW w:w="53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53BD7" w:rsidRPr="00E76248" w:rsidRDefault="00453BD7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3BD7" w:rsidRPr="00E76248" w:rsidRDefault="00453BD7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3BD7" w:rsidRPr="00E76248" w:rsidRDefault="00453BD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3BD7" w:rsidRPr="00E76248" w:rsidRDefault="00453BD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3BD7" w:rsidRPr="00E76248" w:rsidRDefault="00453BD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BD7" w:rsidRPr="00E76248" w:rsidRDefault="00453BD7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«Физическая культура и спорт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2004D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2004D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2004D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471,6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Проведение районных соревнований по баскетболу «КЭС-БАСКЕТ», проведение районного турнира по вольной борьбе на призы главы Биробиджанского муниципального района (отдел образования); </w:t>
            </w:r>
          </w:p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Содержание спортивного зала администрации муниципального района (отдел по бюджетному учету и отчетности)</w:t>
            </w:r>
          </w:p>
        </w:tc>
      </w:tr>
      <w:tr w:rsidR="00E76248" w:rsidRPr="00E76248" w:rsidTr="00453BD7">
        <w:trPr>
          <w:trHeight w:val="403"/>
        </w:trPr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2004D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2004D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2004D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471,6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области, и земельными участками, государственная собственность на которые не разграничена,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93A9B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624,6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Оценка муниципального имущества и земельных участков, оформление документов на проведение кадастровых работ, расходы на капитальный ремонт муниципального имущества в многоквартирных домах, расходы на содержание имущества</w:t>
            </w:r>
          </w:p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893A9B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23E3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624,6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«Мобилизационная подготовка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390FD9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E049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E049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E049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BE049C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Оказание материальной поддержки ветеранам ВОВ в честь празднования Дня Победы в ВОВ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E049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E049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BE049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«Профилактика правонарушений и наркомании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3358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3358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3358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03358F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Мероприятия, направленные на уничтожение дикорастущей конопли 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3358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3358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03358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«Создание мест (площадок) накопления твердых коммунальных отходов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Содержание </w:t>
            </w:r>
            <w:r w:rsidR="00707E31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контейнерных площадок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707E3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44798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453BD7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44798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2387,2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44798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2387,2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Default="001B4E1D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Возмещение расходов за уголь </w:t>
            </w:r>
          </w:p>
          <w:p w:rsidR="001B4E1D" w:rsidRDefault="001B4E1D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Предупреждение ликвидации ЧС (оплата услуг техники для расчистки дорог)</w:t>
            </w:r>
          </w:p>
          <w:p w:rsidR="001B4E1D" w:rsidRPr="00E76248" w:rsidRDefault="001B4E1D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Развитие и совершенствование материально-технической базы ЕДДС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E76248" w:rsidRDefault="0044798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E76248" w:rsidRDefault="0044798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E76248" w:rsidRDefault="0044798E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2387,2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«Организация и обеспечение обслуживания органов местного самоуправления и учреждений культуры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530C1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530C1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  <w:r w:rsidR="00453BD7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530C1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6018,3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 xml:space="preserve">Расходы по содержанию штата работников, обслуживающих органы местного самоуправления и учреждений культуры. </w:t>
            </w:r>
          </w:p>
          <w:p w:rsid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Расходы по содержанию муниципальных учреждений и органов местного самоуправления</w:t>
            </w:r>
          </w:p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Расходы на связь, интернет</w:t>
            </w:r>
          </w:p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Коммунальные услуги</w:t>
            </w:r>
          </w:p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6248" w:rsidRPr="00E76248" w:rsidRDefault="00E76248" w:rsidP="00C412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530C1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530C1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611</w:t>
            </w:r>
            <w:r w:rsidR="00453BD7">
              <w:rPr>
                <w:rFonts w:ascii="Times New Roman" w:hAnsi="Times New Roman"/>
                <w:sz w:val="16"/>
                <w:szCs w:val="16"/>
              </w:rPr>
              <w:t>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530C11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6018,3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D0755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D0755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D0755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D0755F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Основное мероприятие «Укрепление  антитеррористической защищенности объектов массового пребывания населения, находящихся в собственности муниципального района». Оснащение системой видеонаблюдения по периметру здания МКУ «Районный дом культуры»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D0755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D0755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D0755F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«Использование и охрана земель на территории Биробиджанского района на 2020 – 2024 годы»</w:t>
            </w:r>
          </w:p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C604EA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C604EA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C604EA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C604EA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C604EA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C604EA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453BD7"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lastRenderedPageBreak/>
              <w:t>«Социально-экономическое развитие муниципального образования «Биробиджанский муниципальный район» на 2020 – 2021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1B741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1B741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3994,2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1B741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6248">
              <w:rPr>
                <w:rFonts w:ascii="Times New Roman" w:hAnsi="Times New Roman"/>
                <w:sz w:val="16"/>
                <w:szCs w:val="16"/>
              </w:rPr>
              <w:t>Проведение мероприятий согласно плану</w:t>
            </w:r>
          </w:p>
        </w:tc>
      </w:tr>
      <w:tr w:rsidR="00E76248" w:rsidRPr="00E76248" w:rsidTr="00453BD7"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eastAsia="SimSun" w:hAnsi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1B741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1B741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6248" w:rsidRPr="00E76248" w:rsidRDefault="001B7417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48" w:rsidRPr="00E76248" w:rsidRDefault="00E76248" w:rsidP="00453BD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E76248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A38CD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6C">
              <w:rPr>
                <w:rFonts w:ascii="Times New Roman" w:hAnsi="Times New Roman"/>
                <w:sz w:val="16"/>
                <w:szCs w:val="16"/>
              </w:rPr>
              <w:t>144770,0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5E10A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6C">
              <w:rPr>
                <w:rFonts w:ascii="Times New Roman" w:hAnsi="Times New Roman"/>
                <w:sz w:val="16"/>
                <w:szCs w:val="16"/>
              </w:rPr>
              <w:t>73575,9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5E10A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6C">
              <w:rPr>
                <w:rFonts w:ascii="Times New Roman" w:hAnsi="Times New Roman"/>
                <w:sz w:val="16"/>
                <w:szCs w:val="16"/>
              </w:rPr>
              <w:t>69291,9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 xml:space="preserve"> 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b/>
                <w:bCs/>
                <w:spacing w:val="-7"/>
                <w:sz w:val="16"/>
                <w:szCs w:val="16"/>
                <w:lang w:eastAsia="zh-CN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b/>
                <w:bCs/>
                <w:spacing w:val="3"/>
                <w:sz w:val="16"/>
                <w:szCs w:val="16"/>
                <w:lang w:eastAsia="zh-CN"/>
              </w:rPr>
              <w:t>Инвестиции (капвложения)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D162F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6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D162F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6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D162FC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6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E76248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b/>
                <w:bCs/>
                <w:spacing w:val="2"/>
                <w:sz w:val="16"/>
                <w:szCs w:val="16"/>
                <w:lang w:eastAsia="zh-CN"/>
              </w:rPr>
              <w:t>НИОКР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1543B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1543B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1543B6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6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>Местный бюджет (без учета средств, полученных из бюджетов</w:t>
            </w:r>
          </w:p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4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6248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248" w:rsidRPr="00E76248" w:rsidRDefault="00E76248" w:rsidP="00453B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248" w:rsidRPr="001543B6" w:rsidRDefault="00E76248" w:rsidP="001543B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3D636C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48" w:rsidRPr="00E76248" w:rsidRDefault="00E76248" w:rsidP="00453BD7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38CD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38CD" w:rsidRPr="00E76248" w:rsidRDefault="00EA38CD" w:rsidP="00EA3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b/>
                <w:bCs/>
                <w:spacing w:val="3"/>
                <w:sz w:val="16"/>
                <w:szCs w:val="16"/>
                <w:lang w:eastAsia="zh-CN"/>
              </w:rPr>
              <w:t>Прочие нужды-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8CD" w:rsidRPr="001543B6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8CD" w:rsidRPr="003D636C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6C">
              <w:rPr>
                <w:rFonts w:ascii="Times New Roman" w:hAnsi="Times New Roman"/>
                <w:sz w:val="16"/>
                <w:szCs w:val="16"/>
              </w:rPr>
              <w:t>540299,4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8CD" w:rsidRPr="003D636C" w:rsidRDefault="00C412D8" w:rsidP="00EA38C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</w:t>
            </w:r>
            <w:r w:rsidR="003C2E0D" w:rsidRPr="003D636C">
              <w:rPr>
                <w:rFonts w:ascii="Times New Roman" w:hAnsi="Times New Roman"/>
                <w:bCs/>
                <w:sz w:val="16"/>
                <w:szCs w:val="16"/>
              </w:rPr>
              <w:t>3401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8CD" w:rsidRPr="003D636C" w:rsidRDefault="00023E3E" w:rsidP="00EA38C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190887,1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38CD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38CD" w:rsidRPr="00E76248" w:rsidRDefault="00EA38CD" w:rsidP="00EA3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8CD" w:rsidRPr="001543B6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8CD" w:rsidRPr="003D636C" w:rsidRDefault="00EA38CD" w:rsidP="00EA38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8CD" w:rsidRPr="003D636C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38CD" w:rsidRPr="003D636C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38CD" w:rsidRPr="00E76248" w:rsidTr="001543B6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38CD" w:rsidRPr="00E76248" w:rsidRDefault="00EA38CD" w:rsidP="00EA3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E76248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8CD" w:rsidRPr="001543B6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8CD" w:rsidRPr="003D636C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636C">
              <w:rPr>
                <w:rFonts w:ascii="Times New Roman" w:hAnsi="Times New Roman"/>
                <w:sz w:val="16"/>
                <w:szCs w:val="16"/>
              </w:rPr>
              <w:t>144770,0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8CD" w:rsidRPr="003D636C" w:rsidRDefault="003C2E0D" w:rsidP="00EA38C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D636C">
              <w:rPr>
                <w:rFonts w:ascii="Times New Roman" w:hAnsi="Times New Roman"/>
                <w:bCs/>
                <w:sz w:val="16"/>
                <w:szCs w:val="16"/>
              </w:rPr>
              <w:t>73575,9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8CD" w:rsidRPr="003D636C" w:rsidRDefault="003C2E0D" w:rsidP="00EA38CD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D636C">
              <w:rPr>
                <w:rFonts w:ascii="Times New Roman" w:hAnsi="Times New Roman"/>
                <w:bCs/>
                <w:sz w:val="16"/>
                <w:szCs w:val="16"/>
              </w:rPr>
              <w:t>69291,9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38CD" w:rsidRPr="00E76248" w:rsidTr="00453BD7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38CD" w:rsidRPr="00E76248" w:rsidTr="00453BD7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38CD" w:rsidRPr="00E76248" w:rsidRDefault="00EA38CD" w:rsidP="00EA3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38CD" w:rsidRPr="00E76248" w:rsidTr="00453BD7">
        <w:tc>
          <w:tcPr>
            <w:tcW w:w="5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38CD" w:rsidRPr="00E76248" w:rsidRDefault="00EA38CD" w:rsidP="00EA3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E76248">
              <w:rPr>
                <w:rFonts w:ascii="Times New Roman" w:hAnsi="Times New Roman"/>
                <w:spacing w:val="1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8CD" w:rsidRPr="00E76248" w:rsidRDefault="00EA38CD" w:rsidP="00EA38CD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85958" w:rsidRDefault="00C412D8" w:rsidP="00023E3E">
      <w:pPr>
        <w:shd w:val="clear" w:color="auto" w:fill="FFFFFF"/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-10160</wp:posOffset>
                </wp:positionV>
                <wp:extent cx="22098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930D5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9pt,-.8pt" to="504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" strokecolor="black [3213]" strokeweight=".5pt">
                <v:stroke joinstyle="miter"/>
              </v:line>
            </w:pict>
          </mc:Fallback>
        </mc:AlternateContent>
      </w:r>
    </w:p>
    <w:sectPr w:rsidR="00A85958" w:rsidSect="00C9362B">
      <w:headerReference w:type="default" r:id="rId7"/>
      <w:pgSz w:w="16838" w:h="11906" w:orient="landscape" w:code="9"/>
      <w:pgMar w:top="127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21" w:rsidRDefault="001E2F21">
      <w:pPr>
        <w:spacing w:after="0" w:line="240" w:lineRule="auto"/>
      </w:pPr>
      <w:r>
        <w:separator/>
      </w:r>
    </w:p>
  </w:endnote>
  <w:endnote w:type="continuationSeparator" w:id="0">
    <w:p w:rsidR="001E2F21" w:rsidRDefault="001E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21" w:rsidRDefault="001E2F21">
      <w:pPr>
        <w:spacing w:after="0" w:line="240" w:lineRule="auto"/>
      </w:pPr>
      <w:r>
        <w:separator/>
      </w:r>
    </w:p>
  </w:footnote>
  <w:footnote w:type="continuationSeparator" w:id="0">
    <w:p w:rsidR="001E2F21" w:rsidRDefault="001E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241907"/>
    </w:sdtPr>
    <w:sdtEndPr>
      <w:rPr>
        <w:rFonts w:ascii="Times New Roman" w:hAnsi="Times New Roman" w:cs="Times New Roman"/>
      </w:rPr>
    </w:sdtEndPr>
    <w:sdtContent>
      <w:p w:rsidR="00C9362B" w:rsidRPr="00937374" w:rsidRDefault="00DC2AB5">
        <w:pPr>
          <w:pStyle w:val="a3"/>
          <w:jc w:val="center"/>
          <w:rPr>
            <w:rFonts w:ascii="Times New Roman" w:hAnsi="Times New Roman" w:cs="Times New Roman"/>
          </w:rPr>
        </w:pPr>
        <w:r w:rsidRPr="00937374">
          <w:rPr>
            <w:rFonts w:ascii="Times New Roman" w:hAnsi="Times New Roman" w:cs="Times New Roman"/>
          </w:rPr>
          <w:fldChar w:fldCharType="begin"/>
        </w:r>
        <w:r w:rsidRPr="00937374">
          <w:rPr>
            <w:rFonts w:ascii="Times New Roman" w:hAnsi="Times New Roman" w:cs="Times New Roman"/>
          </w:rPr>
          <w:instrText xml:space="preserve"> PAGE   \* MERGEFORMAT </w:instrText>
        </w:r>
        <w:r w:rsidRPr="00937374">
          <w:rPr>
            <w:rFonts w:ascii="Times New Roman" w:hAnsi="Times New Roman" w:cs="Times New Roman"/>
          </w:rPr>
          <w:fldChar w:fldCharType="separate"/>
        </w:r>
        <w:r w:rsidR="00C34B78">
          <w:rPr>
            <w:rFonts w:ascii="Times New Roman" w:hAnsi="Times New Roman" w:cs="Times New Roman"/>
            <w:noProof/>
          </w:rPr>
          <w:t>2</w:t>
        </w:r>
        <w:r w:rsidRPr="0093737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21"/>
    <w:rsid w:val="00023E3E"/>
    <w:rsid w:val="0003358F"/>
    <w:rsid w:val="000C2EE8"/>
    <w:rsid w:val="0011755C"/>
    <w:rsid w:val="001543B6"/>
    <w:rsid w:val="001750EF"/>
    <w:rsid w:val="00192E68"/>
    <w:rsid w:val="001B4E1D"/>
    <w:rsid w:val="001B7417"/>
    <w:rsid w:val="001E2F21"/>
    <w:rsid w:val="002004D8"/>
    <w:rsid w:val="00247964"/>
    <w:rsid w:val="002A2845"/>
    <w:rsid w:val="002D3C99"/>
    <w:rsid w:val="00313D6D"/>
    <w:rsid w:val="00366A2B"/>
    <w:rsid w:val="003709A0"/>
    <w:rsid w:val="0039071A"/>
    <w:rsid w:val="00390FD9"/>
    <w:rsid w:val="00392E07"/>
    <w:rsid w:val="003A10C9"/>
    <w:rsid w:val="003C2E0D"/>
    <w:rsid w:val="003D636C"/>
    <w:rsid w:val="00411E73"/>
    <w:rsid w:val="0044798E"/>
    <w:rsid w:val="00453BD7"/>
    <w:rsid w:val="00471FE7"/>
    <w:rsid w:val="004E7391"/>
    <w:rsid w:val="00530C11"/>
    <w:rsid w:val="005558BF"/>
    <w:rsid w:val="00581CCA"/>
    <w:rsid w:val="005C1874"/>
    <w:rsid w:val="005E10A8"/>
    <w:rsid w:val="00655FD6"/>
    <w:rsid w:val="0067782E"/>
    <w:rsid w:val="006F1680"/>
    <w:rsid w:val="0070462A"/>
    <w:rsid w:val="00707E31"/>
    <w:rsid w:val="00731DB1"/>
    <w:rsid w:val="0074422B"/>
    <w:rsid w:val="00783256"/>
    <w:rsid w:val="007972A7"/>
    <w:rsid w:val="007C245B"/>
    <w:rsid w:val="00822358"/>
    <w:rsid w:val="00844B70"/>
    <w:rsid w:val="0085332A"/>
    <w:rsid w:val="00883CA7"/>
    <w:rsid w:val="00893A9B"/>
    <w:rsid w:val="008A0CEB"/>
    <w:rsid w:val="00935B8C"/>
    <w:rsid w:val="009D1FDB"/>
    <w:rsid w:val="00A85958"/>
    <w:rsid w:val="00A876DC"/>
    <w:rsid w:val="00B6206F"/>
    <w:rsid w:val="00BE049C"/>
    <w:rsid w:val="00C34B78"/>
    <w:rsid w:val="00C412D8"/>
    <w:rsid w:val="00C604EA"/>
    <w:rsid w:val="00C93638"/>
    <w:rsid w:val="00CC183F"/>
    <w:rsid w:val="00D0755F"/>
    <w:rsid w:val="00D162FC"/>
    <w:rsid w:val="00D46921"/>
    <w:rsid w:val="00DA5515"/>
    <w:rsid w:val="00DC2AB5"/>
    <w:rsid w:val="00DD402A"/>
    <w:rsid w:val="00DD7C0E"/>
    <w:rsid w:val="00DE6BFA"/>
    <w:rsid w:val="00DF3C5B"/>
    <w:rsid w:val="00E714E2"/>
    <w:rsid w:val="00E76248"/>
    <w:rsid w:val="00E80A01"/>
    <w:rsid w:val="00EA38CD"/>
    <w:rsid w:val="00EB280D"/>
    <w:rsid w:val="00F00B4D"/>
    <w:rsid w:val="00F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BBA9-9E57-4DFE-81BC-1FD3DD9D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76248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E762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7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3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92BD-909A-45C0-84B4-364D0E67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Kodeks</cp:lastModifiedBy>
  <cp:revision>2</cp:revision>
  <cp:lastPrinted>2022-11-25T00:37:00Z</cp:lastPrinted>
  <dcterms:created xsi:type="dcterms:W3CDTF">2023-02-28T05:13:00Z</dcterms:created>
  <dcterms:modified xsi:type="dcterms:W3CDTF">2023-02-28T05:13:00Z</dcterms:modified>
</cp:coreProperties>
</file>